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360" w:lineRule="auto"/>
        <w:jc w:val="center"/>
        <w:rPr>
          <w:rFonts w:hint="eastAsia" w:ascii="黑体" w:hAnsi="黑体" w:eastAsia="黑体" w:cs="宋体"/>
          <w:kern w:val="0"/>
          <w:sz w:val="36"/>
          <w:szCs w:val="36"/>
        </w:rPr>
      </w:pPr>
    </w:p>
    <w:p>
      <w:pPr>
        <w:spacing w:line="360" w:lineRule="auto"/>
        <w:jc w:val="center"/>
        <w:rPr>
          <w:rFonts w:ascii="黑体" w:hAnsi="黑体" w:eastAsia="黑体" w:cs="宋体"/>
          <w:kern w:val="0"/>
          <w:sz w:val="36"/>
          <w:szCs w:val="36"/>
        </w:rPr>
      </w:pPr>
      <w:r>
        <w:rPr>
          <w:rFonts w:hint="eastAsia" w:ascii="黑体" w:hAnsi="黑体" w:eastAsia="黑体" w:cs="宋体"/>
          <w:kern w:val="0"/>
          <w:sz w:val="36"/>
          <w:szCs w:val="36"/>
        </w:rPr>
        <w:t>新能源电池回收利用行业标准化工作组筹建申请表</w:t>
      </w:r>
    </w:p>
    <w:tbl>
      <w:tblPr>
        <w:tblStyle w:val="15"/>
        <w:tblW w:w="92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818"/>
        <w:gridCol w:w="852"/>
        <w:gridCol w:w="1906"/>
        <w:gridCol w:w="2181"/>
        <w:gridCol w:w="2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782"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hint="eastAsia" w:eastAsia="仿宋_GB2312"/>
                <w:b/>
                <w:sz w:val="24"/>
                <w:szCs w:val="24"/>
              </w:rPr>
              <w:t>牵头单位</w:t>
            </w:r>
          </w:p>
        </w:tc>
        <w:tc>
          <w:tcPr>
            <w:tcW w:w="653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sz w:val="24"/>
                <w:szCs w:val="24"/>
              </w:rPr>
            </w:pPr>
            <w:r>
              <w:rPr>
                <w:rFonts w:hint="eastAsia" w:eastAsia="仿宋_GB2312" w:cs="宋体"/>
                <w:sz w:val="24"/>
                <w:szCs w:val="24"/>
              </w:rPr>
              <w:t>中国工业节能与清洁生产协会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720"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eastAsia="仿宋_GB2312"/>
                <w:b/>
                <w:sz w:val="24"/>
                <w:szCs w:val="24"/>
              </w:rPr>
              <w:t>参与筹建单位</w:t>
            </w:r>
          </w:p>
        </w:tc>
        <w:tc>
          <w:tcPr>
            <w:tcW w:w="653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sz w:val="24"/>
                <w:szCs w:val="24"/>
              </w:rPr>
            </w:pPr>
            <w:r>
              <w:rPr>
                <w:rFonts w:hint="eastAsia" w:eastAsia="仿宋_GB2312"/>
                <w:sz w:val="24"/>
                <w:szCs w:val="24"/>
              </w:rPr>
              <w:t>北京理工大学电动车辆国家工程实验室、中国汽车技术研究中心有限公司等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720"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eastAsia="仿宋_GB2312"/>
                <w:b/>
                <w:sz w:val="24"/>
                <w:szCs w:val="24"/>
              </w:rPr>
              <w:t>名称</w:t>
            </w:r>
          </w:p>
        </w:tc>
        <w:tc>
          <w:tcPr>
            <w:tcW w:w="653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sz w:val="24"/>
                <w:szCs w:val="24"/>
              </w:rPr>
            </w:pPr>
            <w:r>
              <w:rPr>
                <w:rFonts w:hint="eastAsia" w:eastAsia="仿宋_GB2312"/>
                <w:sz w:val="24"/>
                <w:szCs w:val="24"/>
              </w:rPr>
              <w:t>新能源电池回收利用行业标准化工作组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720"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eastAsia="仿宋_GB2312"/>
                <w:b/>
                <w:sz w:val="24"/>
                <w:szCs w:val="24"/>
              </w:rPr>
              <w:t>工作范围</w:t>
            </w:r>
          </w:p>
        </w:tc>
        <w:tc>
          <w:tcPr>
            <w:tcW w:w="653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sz w:val="24"/>
                <w:szCs w:val="24"/>
              </w:rPr>
            </w:pPr>
            <w:r>
              <w:rPr>
                <w:rFonts w:hint="eastAsia" w:eastAsia="仿宋_GB2312"/>
                <w:sz w:val="24"/>
                <w:szCs w:val="24"/>
              </w:rPr>
              <w:t>开展新能源电池回收利用领域基础通用、技术、管理、考核类标准化工作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7666" w:hRule="atLeast"/>
          <w:jc w:val="center"/>
        </w:trPr>
        <w:tc>
          <w:tcPr>
            <w:tcW w:w="920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eastAsia="仿宋_GB2312"/>
                <w:b/>
                <w:bCs/>
                <w:sz w:val="24"/>
                <w:szCs w:val="24"/>
              </w:rPr>
            </w:pPr>
            <w:r>
              <w:rPr>
                <w:rFonts w:hint="eastAsia" w:eastAsia="仿宋_GB2312"/>
                <w:b/>
                <w:bCs/>
                <w:sz w:val="24"/>
                <w:szCs w:val="24"/>
              </w:rPr>
              <w:t>申请理由：</w:t>
            </w:r>
          </w:p>
          <w:p>
            <w:pPr>
              <w:spacing w:line="360" w:lineRule="auto"/>
              <w:ind w:firstLine="640"/>
              <w:rPr>
                <w:rFonts w:eastAsia="仿宋_GB2312"/>
                <w:sz w:val="24"/>
                <w:szCs w:val="24"/>
              </w:rPr>
            </w:pPr>
            <w:r>
              <w:rPr>
                <w:rFonts w:hint="eastAsia" w:eastAsia="仿宋_GB2312"/>
                <w:sz w:val="24"/>
                <w:szCs w:val="24"/>
              </w:rPr>
              <w:t>新能源电池回收利用是当前伴随新能源汽车产业发展的新生事物，开展该领域的标准化工作是引领产业健康发展的重要保障，组建“新能源电池回收利用行业标准化工作组”，整合行业专家资源、构建知识和技术平台、建立和完善标准体系、统一标准规划、协调标准内容、共同推进标准研制和实施，对进一步加强支撑工信部工作，加大标准的宣传、宣贯工作，对建立健全新能源电池绿色回收、梯次利用、再生利用等行业标准，引导行业构建健康可持续发展的新能源电池回收利用体系具有重要意义。</w:t>
            </w:r>
          </w:p>
          <w:p>
            <w:pPr>
              <w:spacing w:line="360" w:lineRule="auto"/>
              <w:ind w:firstLine="640"/>
              <w:rPr>
                <w:rFonts w:eastAsia="仿宋_GB2312"/>
                <w:sz w:val="24"/>
                <w:szCs w:val="24"/>
              </w:rPr>
            </w:pPr>
            <w:r>
              <w:rPr>
                <w:rFonts w:hint="eastAsia" w:eastAsia="仿宋_GB2312"/>
                <w:sz w:val="24"/>
                <w:szCs w:val="24"/>
              </w:rPr>
              <w:t>第一，为贯彻落实《</w:t>
            </w:r>
            <w:r>
              <w:rPr>
                <w:rFonts w:eastAsia="仿宋_GB2312"/>
                <w:sz w:val="24"/>
                <w:szCs w:val="24"/>
              </w:rPr>
              <w:t>固体废物污染环境防治法</w:t>
            </w:r>
            <w:r>
              <w:rPr>
                <w:rFonts w:hint="eastAsia" w:eastAsia="仿宋_GB2312"/>
                <w:sz w:val="24"/>
                <w:szCs w:val="24"/>
              </w:rPr>
              <w:t>》等相关法律法规，遵循</w:t>
            </w:r>
            <w:r>
              <w:rPr>
                <w:rFonts w:eastAsia="仿宋_GB2312"/>
                <w:sz w:val="24"/>
                <w:szCs w:val="24"/>
              </w:rPr>
              <w:t>《新能源汽车动力蓄电池回收利用管理暂行办法》</w:t>
            </w:r>
            <w:r>
              <w:rPr>
                <w:rFonts w:hint="eastAsia" w:eastAsia="仿宋_GB2312"/>
                <w:sz w:val="24"/>
                <w:szCs w:val="24"/>
              </w:rPr>
              <w:t>的基本原则，利用技术标准为手段作为相关法律法规的有效支撑，引导有关企业参照相关标准开展新能源电池回收利用工作，有利于相关政策的贯彻和落实。</w:t>
            </w:r>
          </w:p>
          <w:p>
            <w:pPr>
              <w:spacing w:line="360" w:lineRule="auto"/>
              <w:ind w:firstLine="640"/>
              <w:rPr>
                <w:rFonts w:eastAsia="仿宋_GB2312"/>
                <w:sz w:val="24"/>
                <w:szCs w:val="24"/>
              </w:rPr>
            </w:pPr>
            <w:r>
              <w:rPr>
                <w:rFonts w:hint="eastAsia" w:eastAsia="仿宋_GB2312"/>
                <w:sz w:val="24"/>
                <w:szCs w:val="24"/>
              </w:rPr>
              <w:t>第二，目前我国新能源汽车产业快速发展，动力蓄电池配套量也逐年攀升。</w:t>
            </w:r>
            <w:r>
              <w:rPr>
                <w:rFonts w:eastAsia="仿宋_GB2312"/>
                <w:sz w:val="24"/>
                <w:szCs w:val="24"/>
              </w:rPr>
              <w:t>随着动力蓄电池逐步退役，</w:t>
            </w:r>
            <w:r>
              <w:rPr>
                <w:rFonts w:hint="eastAsia" w:eastAsia="仿宋_GB2312"/>
                <w:sz w:val="24"/>
                <w:szCs w:val="24"/>
              </w:rPr>
              <w:t>退役后的电池</w:t>
            </w:r>
            <w:r>
              <w:rPr>
                <w:rFonts w:eastAsia="仿宋_GB2312"/>
                <w:sz w:val="24"/>
                <w:szCs w:val="24"/>
              </w:rPr>
              <w:t>如处置不当，随意丢弃，不仅会给社会带来环境影响和安全隐患，而且也会造成资源浪费。</w:t>
            </w:r>
            <w:r>
              <w:rPr>
                <w:rFonts w:hint="eastAsia" w:eastAsia="仿宋_GB2312"/>
                <w:sz w:val="24"/>
                <w:szCs w:val="24"/>
              </w:rPr>
              <w:t>因此，尽快有效推进新能源汽车新能源电池回收利用领域标准化工作，以专业标准化组织规范行业发展秩序，有利于推动行业快速健康发展。</w:t>
            </w:r>
          </w:p>
          <w:p>
            <w:pPr>
              <w:spacing w:line="360" w:lineRule="auto"/>
              <w:ind w:firstLine="640"/>
              <w:rPr>
                <w:rFonts w:eastAsia="仿宋_GB2312"/>
                <w:sz w:val="24"/>
                <w:szCs w:val="24"/>
              </w:rPr>
            </w:pPr>
            <w:r>
              <w:rPr>
                <w:rFonts w:hint="eastAsia" w:eastAsia="仿宋_GB2312"/>
                <w:sz w:val="24"/>
                <w:szCs w:val="24"/>
              </w:rPr>
              <w:t>第三，目前我国从事新能源电池回收利用的企业整体工艺水平较低。一方面，对动力电池的回收工艺路线还处于探索阶段，以打造闭环为目标的回收技术研究尚未开展。另一方面，对动力电池回收处理普遍还停留在废物处理的阶段，资源回收再利用以及电池的循环再制造技术的研究仍未开展，对电池回收所涉及到的安全生产和环境保护等问题没有具体的工艺措施和装备保证。因此，组建专业的</w:t>
            </w:r>
            <w:r>
              <w:rPr>
                <w:rFonts w:eastAsia="仿宋_GB2312"/>
                <w:sz w:val="24"/>
                <w:szCs w:val="24"/>
              </w:rPr>
              <w:t>标准化</w:t>
            </w:r>
            <w:r>
              <w:rPr>
                <w:rFonts w:hint="eastAsia" w:eastAsia="仿宋_GB2312"/>
                <w:sz w:val="24"/>
                <w:szCs w:val="24"/>
              </w:rPr>
              <w:t>组织，有利于带动行业整体水平的发展。</w:t>
            </w:r>
          </w:p>
          <w:p>
            <w:pPr>
              <w:spacing w:line="360" w:lineRule="auto"/>
              <w:ind w:firstLine="640"/>
              <w:rPr>
                <w:rFonts w:eastAsia="仿宋_GB2312"/>
                <w:sz w:val="24"/>
                <w:szCs w:val="24"/>
              </w:rPr>
            </w:pPr>
            <w:r>
              <w:rPr>
                <w:rFonts w:hint="eastAsia" w:eastAsia="仿宋_GB2312"/>
                <w:sz w:val="24"/>
                <w:szCs w:val="24"/>
              </w:rPr>
              <w:t>第四，动力电池的标准化，影响了其回收和再利用过程中拆解、检测等装备复杂程度、电池的一致性、安全性和经济性，因此有必要对动力电池的结构设计、连接方式、工艺技术、集成安装等方面进行标准化研究。随着新能源电池回收利用领域的新工艺、新技术、新产品的不断发展</w:t>
            </w:r>
            <w:r>
              <w:rPr>
                <w:rFonts w:eastAsia="仿宋_GB2312"/>
                <w:sz w:val="24"/>
                <w:szCs w:val="24"/>
              </w:rPr>
              <w:t>，</w:t>
            </w:r>
            <w:r>
              <w:rPr>
                <w:rFonts w:hint="eastAsia" w:eastAsia="仿宋_GB2312"/>
                <w:sz w:val="24"/>
                <w:szCs w:val="24"/>
              </w:rPr>
              <w:t>组建引领产业进步的专业标准化机构，有利于提升企业的技术创新能力。</w:t>
            </w:r>
          </w:p>
          <w:p>
            <w:pPr>
              <w:spacing w:line="360" w:lineRule="auto"/>
              <w:ind w:firstLine="640"/>
              <w:rPr>
                <w:rFonts w:eastAsia="仿宋_GB2312"/>
                <w:sz w:val="24"/>
                <w:szCs w:val="24"/>
              </w:rPr>
            </w:pPr>
            <w:r>
              <w:rPr>
                <w:rFonts w:hint="eastAsia" w:eastAsia="仿宋_GB2312"/>
                <w:sz w:val="24"/>
                <w:szCs w:val="24"/>
              </w:rPr>
              <w:t>第五，目前我国新能源电池回收利用领域标准数量少、</w:t>
            </w:r>
            <w:r>
              <w:rPr>
                <w:rFonts w:eastAsia="仿宋_GB2312"/>
                <w:sz w:val="24"/>
                <w:szCs w:val="24"/>
              </w:rPr>
              <w:t>标准体系尚不健全。随着</w:t>
            </w:r>
            <w:r>
              <w:rPr>
                <w:rFonts w:hint="eastAsia" w:eastAsia="仿宋_GB2312"/>
                <w:sz w:val="24"/>
                <w:szCs w:val="24"/>
              </w:rPr>
              <w:t>动力蓄电池退役数量的增加</w:t>
            </w:r>
            <w:r>
              <w:rPr>
                <w:rFonts w:eastAsia="仿宋_GB2312"/>
                <w:sz w:val="24"/>
                <w:szCs w:val="24"/>
              </w:rPr>
              <w:t>，</w:t>
            </w:r>
            <w:r>
              <w:rPr>
                <w:rFonts w:hint="eastAsia" w:eastAsia="仿宋_GB2312"/>
                <w:sz w:val="24"/>
                <w:szCs w:val="24"/>
              </w:rPr>
              <w:t>新能源电池回收利用</w:t>
            </w:r>
            <w:r>
              <w:rPr>
                <w:rFonts w:eastAsia="仿宋_GB2312"/>
                <w:sz w:val="24"/>
                <w:szCs w:val="24"/>
              </w:rPr>
              <w:t>标准滞后的局面凸现，急需专业机构完善、创新、研制</w:t>
            </w:r>
            <w:r>
              <w:rPr>
                <w:rFonts w:hint="eastAsia" w:eastAsia="仿宋_GB2312"/>
                <w:sz w:val="24"/>
                <w:szCs w:val="24"/>
              </w:rPr>
              <w:t>、建立新能源电池回收利用</w:t>
            </w:r>
            <w:r>
              <w:rPr>
                <w:rFonts w:eastAsia="仿宋_GB2312"/>
                <w:sz w:val="24"/>
                <w:szCs w:val="24"/>
              </w:rPr>
              <w:t>领域标准体系，</w:t>
            </w:r>
            <w:r>
              <w:rPr>
                <w:rFonts w:hint="eastAsia" w:eastAsia="仿宋_GB2312"/>
                <w:sz w:val="24"/>
                <w:szCs w:val="24"/>
              </w:rPr>
              <w:t>有利于规范协调相关领域的标准化工作。</w:t>
            </w:r>
          </w:p>
          <w:p>
            <w:pPr>
              <w:spacing w:line="360" w:lineRule="auto"/>
              <w:ind w:firstLine="640"/>
              <w:rPr>
                <w:rFonts w:eastAsia="仿宋_GB2312"/>
                <w:sz w:val="24"/>
                <w:szCs w:val="24"/>
              </w:rPr>
            </w:pPr>
            <w:r>
              <w:rPr>
                <w:rFonts w:eastAsia="仿宋_GB2312"/>
                <w:sz w:val="24"/>
                <w:szCs w:val="24"/>
              </w:rPr>
              <w:t>组建</w:t>
            </w:r>
            <w:r>
              <w:rPr>
                <w:rFonts w:hint="eastAsia" w:eastAsia="仿宋_GB2312"/>
                <w:sz w:val="24"/>
                <w:szCs w:val="24"/>
              </w:rPr>
              <w:t>“新能源电池回收利用标准化工作组”，及时组织开展这一领域标准化工作和行业规范工作，</w:t>
            </w:r>
            <w:r>
              <w:rPr>
                <w:rFonts w:eastAsia="仿宋_GB2312"/>
                <w:sz w:val="24"/>
                <w:szCs w:val="24"/>
              </w:rPr>
              <w:t>有</w:t>
            </w:r>
            <w:r>
              <w:rPr>
                <w:rFonts w:hint="eastAsia" w:eastAsia="仿宋_GB2312"/>
                <w:sz w:val="24"/>
                <w:szCs w:val="24"/>
              </w:rPr>
              <w:t>产业需求，有市场需求，有政策规范需求。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967" w:hRule="atLeast"/>
          <w:jc w:val="center"/>
        </w:trPr>
        <w:tc>
          <w:tcPr>
            <w:tcW w:w="920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eastAsia="仿宋_GB2312"/>
                <w:b/>
                <w:bCs/>
                <w:sz w:val="24"/>
                <w:szCs w:val="24"/>
              </w:rPr>
            </w:pPr>
            <w:r>
              <w:rPr>
                <w:rFonts w:hint="eastAsia" w:eastAsia="仿宋_GB2312"/>
                <w:b/>
                <w:bCs/>
                <w:sz w:val="24"/>
                <w:szCs w:val="24"/>
              </w:rPr>
              <w:t>申请单位：</w:t>
            </w:r>
          </w:p>
          <w:p>
            <w:pPr>
              <w:spacing w:line="360" w:lineRule="auto"/>
              <w:ind w:firstLine="640"/>
              <w:rPr>
                <w:rFonts w:eastAsia="仿宋_GB2312"/>
                <w:sz w:val="24"/>
                <w:szCs w:val="24"/>
              </w:rPr>
            </w:pPr>
            <w:r>
              <w:rPr>
                <w:rFonts w:hint="eastAsia" w:eastAsia="仿宋_GB2312"/>
                <w:sz w:val="24"/>
                <w:szCs w:val="24"/>
              </w:rPr>
              <w:t>目前拥有包括中央企业、世界</w:t>
            </w:r>
            <w:r>
              <w:rPr>
                <w:rFonts w:eastAsia="仿宋_GB2312"/>
                <w:sz w:val="24"/>
                <w:szCs w:val="24"/>
              </w:rPr>
              <w:t>500强、民营科技型企业、科研机构等单位在内的会员企业700多家，覆盖节能、环保、新材料、新能源、装备制造和冶金、建材、能源、化工等众多行业领域。</w:t>
            </w:r>
            <w:r>
              <w:rPr>
                <w:rFonts w:hint="eastAsia" w:eastAsia="仿宋_GB2312"/>
                <w:sz w:val="24"/>
                <w:szCs w:val="24"/>
              </w:rPr>
              <w:t>协会拥有由两院院士和在行业领域具有较高知名度、较深科研水平、较强管理经验的学术带头人、技术负责人和项目管理人组成的</w:t>
            </w:r>
            <w:r>
              <w:rPr>
                <w:rFonts w:eastAsia="仿宋_GB2312"/>
                <w:sz w:val="24"/>
                <w:szCs w:val="24"/>
              </w:rPr>
              <w:t>500多人的专家顾问团队。形成了技术推广、标准化研究、试点示范、业务培训、国际交流、信息服务、咨询研究、会展论坛核心业务。</w:t>
            </w:r>
            <w:r>
              <w:rPr>
                <w:rFonts w:hint="eastAsia" w:eastAsia="仿宋_GB2312"/>
                <w:sz w:val="24"/>
                <w:szCs w:val="24"/>
              </w:rPr>
              <w:t>受委托编制了国家《“十三五”节能环保产业发展规划》、《区域绿色低碳转型发展规划》，承担了世界银行《石油和化工行业重大关键节能技术评价分析》研究项目、</w:t>
            </w:r>
            <w:r>
              <w:rPr>
                <w:rFonts w:eastAsia="仿宋_GB2312"/>
                <w:sz w:val="24"/>
                <w:szCs w:val="24"/>
              </w:rPr>
              <w:t>UNDP（联合国开发计划署）高效电机推广项目。</w:t>
            </w:r>
            <w:r>
              <w:rPr>
                <w:rFonts w:hint="eastAsia" w:eastAsia="仿宋_GB2312"/>
                <w:sz w:val="24"/>
                <w:szCs w:val="24"/>
              </w:rPr>
              <w:t>发布了《重点节能技术推广目录》、《低碳技术推广目录》和《重点行业挥发性有机物（</w:t>
            </w:r>
            <w:r>
              <w:rPr>
                <w:rFonts w:eastAsia="仿宋_GB2312"/>
                <w:sz w:val="24"/>
                <w:szCs w:val="24"/>
              </w:rPr>
              <w:t>VOCs）削减技术示范推荐目录》等</w:t>
            </w:r>
            <w:r>
              <w:rPr>
                <w:rFonts w:hint="eastAsia" w:eastAsia="仿宋_GB2312"/>
                <w:sz w:val="24"/>
                <w:szCs w:val="24"/>
              </w:rPr>
              <w:t>，</w:t>
            </w:r>
            <w:r>
              <w:rPr>
                <w:rFonts w:eastAsia="仿宋_GB2312"/>
                <w:sz w:val="24"/>
                <w:szCs w:val="24"/>
              </w:rPr>
              <w:t>建立了会员企业先进节能环保、清洁生产技术储备库。</w:t>
            </w:r>
          </w:p>
          <w:p>
            <w:pPr>
              <w:spacing w:line="360" w:lineRule="auto"/>
              <w:ind w:firstLine="640"/>
              <w:rPr>
                <w:rFonts w:eastAsia="仿宋_GB2312"/>
                <w:sz w:val="24"/>
                <w:szCs w:val="24"/>
              </w:rPr>
            </w:pPr>
            <w:r>
              <w:rPr>
                <w:rFonts w:hint="eastAsia" w:eastAsia="仿宋_GB2312"/>
                <w:sz w:val="24"/>
                <w:szCs w:val="24"/>
              </w:rPr>
              <w:t>协会在标准化工作领域中承担了工业和信息化部工业节能行业标准化总体组、工业和信息化部工业节水行业标准化总体组秘书处单位，是国家标准委批准的第二批团体标准的试点单位，具有丰富的标准化工作经验。</w:t>
            </w:r>
          </w:p>
          <w:p>
            <w:pPr>
              <w:spacing w:line="360" w:lineRule="auto"/>
              <w:ind w:firstLine="640"/>
              <w:rPr>
                <w:rFonts w:eastAsia="仿宋_GB2312"/>
                <w:sz w:val="24"/>
                <w:szCs w:val="24"/>
              </w:rPr>
            </w:pPr>
            <w:r>
              <w:rPr>
                <w:rFonts w:hint="eastAsia" w:eastAsia="仿宋_GB2312"/>
                <w:sz w:val="24"/>
                <w:szCs w:val="24"/>
              </w:rPr>
              <w:t>协会组建成立了“新能源电池回收利用专业委员会”。专委会遵循</w:t>
            </w:r>
            <w:r>
              <w:rPr>
                <w:rFonts w:eastAsia="仿宋_GB2312"/>
                <w:sz w:val="24"/>
                <w:szCs w:val="24"/>
              </w:rPr>
              <w:t>《新能源汽车动力蓄电池回收利用管理暂行办法》</w:t>
            </w:r>
            <w:r>
              <w:rPr>
                <w:rFonts w:hint="eastAsia" w:eastAsia="仿宋_GB2312"/>
                <w:sz w:val="24"/>
                <w:szCs w:val="24"/>
              </w:rPr>
              <w:t>基本原则，积极开展产业领域相关工作，协调组织产业开发新能源电池梯次利用技术、再生利用技术、信息化管理等关键共性技术，搭建专业团队，开展标准项目研制工作，编制构建新能源电池回收利用产业链和供应链建设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498" w:hRule="atLeast"/>
          <w:jc w:val="center"/>
        </w:trPr>
        <w:tc>
          <w:tcPr>
            <w:tcW w:w="18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eastAsia="仿宋_GB2312"/>
                <w:b/>
                <w:sz w:val="24"/>
                <w:szCs w:val="24"/>
              </w:rPr>
            </w:pPr>
            <w:r>
              <w:rPr>
                <w:rFonts w:eastAsia="仿宋_GB2312"/>
                <w:b/>
                <w:sz w:val="24"/>
                <w:szCs w:val="24"/>
              </w:rPr>
              <w:t>牵头申请单位对秘书处工作的支持</w:t>
            </w:r>
          </w:p>
        </w:tc>
        <w:tc>
          <w:tcPr>
            <w:tcW w:w="738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276" w:lineRule="auto"/>
              <w:rPr>
                <w:rFonts w:eastAsia="仿宋_GB2312"/>
                <w:sz w:val="24"/>
                <w:szCs w:val="24"/>
              </w:rPr>
            </w:pPr>
            <w:r>
              <w:rPr>
                <w:rFonts w:eastAsia="仿宋_GB2312"/>
                <w:sz w:val="24"/>
                <w:szCs w:val="24"/>
              </w:rPr>
              <w:t>1．每年能保证提供必要的活动经费；</w:t>
            </w:r>
          </w:p>
          <w:p>
            <w:pPr>
              <w:spacing w:line="276" w:lineRule="auto"/>
              <w:ind w:firstLine="420"/>
              <w:rPr>
                <w:rFonts w:eastAsia="仿宋_GB2312"/>
                <w:sz w:val="24"/>
                <w:szCs w:val="24"/>
              </w:rPr>
            </w:pPr>
            <w:r>
              <w:rPr>
                <w:rFonts w:hint="eastAsia" w:eastAsia="仿宋_GB2312"/>
                <w:sz w:val="24"/>
                <w:szCs w:val="24"/>
              </w:rPr>
              <w:t xml:space="preserve">每年提供经费 </w:t>
            </w:r>
            <w:r>
              <w:rPr>
                <w:rFonts w:eastAsia="仿宋_GB2312"/>
                <w:sz w:val="24"/>
                <w:szCs w:val="24"/>
              </w:rPr>
              <w:t>20</w:t>
            </w:r>
            <w:r>
              <w:rPr>
                <w:rFonts w:hint="eastAsia" w:eastAsia="仿宋_GB2312"/>
                <w:sz w:val="24"/>
                <w:szCs w:val="24"/>
              </w:rPr>
              <w:t>万元以上</w:t>
            </w:r>
          </w:p>
          <w:p>
            <w:pPr>
              <w:spacing w:line="276" w:lineRule="auto"/>
              <w:rPr>
                <w:rFonts w:eastAsia="仿宋_GB2312"/>
                <w:sz w:val="24"/>
                <w:szCs w:val="24"/>
              </w:rPr>
            </w:pPr>
            <w:r>
              <w:rPr>
                <w:rFonts w:hint="eastAsia" w:eastAsia="仿宋_GB2312"/>
                <w:sz w:val="24"/>
                <w:szCs w:val="24"/>
              </w:rPr>
              <w:t xml:space="preserve">2．配备与工作相适应的专职人员； </w:t>
            </w:r>
          </w:p>
          <w:p>
            <w:pPr>
              <w:spacing w:line="276" w:lineRule="auto"/>
              <w:ind w:firstLine="420"/>
              <w:rPr>
                <w:rFonts w:eastAsia="仿宋_GB2312"/>
                <w:sz w:val="24"/>
                <w:szCs w:val="24"/>
              </w:rPr>
            </w:pPr>
            <w:r>
              <w:rPr>
                <w:rFonts w:hint="eastAsia" w:eastAsia="仿宋_GB2312"/>
                <w:sz w:val="24"/>
                <w:szCs w:val="24"/>
              </w:rPr>
              <w:t>配备 3-5 名专职人员</w:t>
            </w:r>
          </w:p>
          <w:p>
            <w:pPr>
              <w:spacing w:line="276" w:lineRule="auto"/>
              <w:rPr>
                <w:rFonts w:eastAsia="仿宋_GB2312"/>
                <w:sz w:val="24"/>
                <w:szCs w:val="24"/>
              </w:rPr>
            </w:pPr>
            <w:r>
              <w:rPr>
                <w:rFonts w:hint="eastAsia" w:eastAsia="仿宋_GB2312"/>
                <w:sz w:val="24"/>
                <w:szCs w:val="24"/>
              </w:rPr>
              <w:t xml:space="preserve">3．保证为秘书处提供必要的办公条件： </w:t>
            </w:r>
          </w:p>
          <w:p>
            <w:pPr>
              <w:spacing w:line="276" w:lineRule="auto"/>
              <w:rPr>
                <w:rFonts w:eastAsia="仿宋_GB2312"/>
                <w:sz w:val="24"/>
                <w:szCs w:val="24"/>
              </w:rPr>
            </w:pPr>
            <w:r>
              <w:rPr>
                <w:rFonts w:hint="eastAsia" w:eastAsia="仿宋_GB2312"/>
                <w:sz w:val="24"/>
                <w:szCs w:val="24"/>
              </w:rPr>
              <w:t>为秘书处提供办公场所及便利条件，办公地点设立在中国工业节能与清洁生产协会新能源电池回收利用专业委员会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58" w:hRule="atLeast"/>
          <w:jc w:val="center"/>
        </w:trPr>
        <w:tc>
          <w:tcPr>
            <w:tcW w:w="18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eastAsia="仿宋_GB2312"/>
                <w:b/>
                <w:sz w:val="24"/>
                <w:szCs w:val="24"/>
              </w:rPr>
              <w:t>申请单位通讯地址</w:t>
            </w:r>
          </w:p>
        </w:tc>
        <w:tc>
          <w:tcPr>
            <w:tcW w:w="738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eastAsia="仿宋_GB2312"/>
                <w:sz w:val="24"/>
                <w:szCs w:val="24"/>
              </w:rPr>
            </w:pPr>
            <w:r>
              <w:rPr>
                <w:rFonts w:eastAsia="仿宋_GB2312"/>
                <w:sz w:val="24"/>
                <w:szCs w:val="24"/>
              </w:rPr>
              <w:t>北京市西城区平安里西大街26号新时代大厦8层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81" w:hRule="atLeast"/>
          <w:jc w:val="center"/>
        </w:trPr>
        <w:tc>
          <w:tcPr>
            <w:tcW w:w="18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eastAsia="仿宋_GB2312"/>
                <w:b/>
                <w:sz w:val="24"/>
                <w:szCs w:val="24"/>
              </w:rPr>
              <w:t>联系电话</w:t>
            </w:r>
          </w:p>
        </w:tc>
        <w:tc>
          <w:tcPr>
            <w:tcW w:w="275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eastAsia="仿宋_GB2312"/>
                <w:sz w:val="24"/>
                <w:szCs w:val="24"/>
              </w:rPr>
            </w:pPr>
            <w:r>
              <w:rPr>
                <w:rFonts w:eastAsia="仿宋_GB2312"/>
                <w:sz w:val="24"/>
                <w:szCs w:val="24"/>
              </w:rPr>
              <w:t>010-62242099</w:t>
            </w:r>
          </w:p>
        </w:tc>
        <w:tc>
          <w:tcPr>
            <w:tcW w:w="21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eastAsia="仿宋_GB2312"/>
                <w:b/>
                <w:sz w:val="24"/>
                <w:szCs w:val="24"/>
              </w:rPr>
              <w:t>传真</w:t>
            </w:r>
          </w:p>
        </w:tc>
        <w:tc>
          <w:tcPr>
            <w:tcW w:w="24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eastAsia="仿宋_GB2312"/>
                <w:sz w:val="24"/>
                <w:szCs w:val="24"/>
              </w:rPr>
            </w:pPr>
            <w:r>
              <w:rPr>
                <w:rFonts w:eastAsia="仿宋_GB2312"/>
                <w:sz w:val="24"/>
                <w:szCs w:val="24"/>
              </w:rPr>
              <w:t>010-62248538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705" w:hRule="atLeast"/>
          <w:jc w:val="center"/>
        </w:trPr>
        <w:tc>
          <w:tcPr>
            <w:tcW w:w="18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eastAsia="仿宋_GB2312"/>
                <w:b/>
                <w:sz w:val="24"/>
                <w:szCs w:val="24"/>
              </w:rPr>
              <w:t>E-mail</w:t>
            </w:r>
          </w:p>
        </w:tc>
        <w:tc>
          <w:tcPr>
            <w:tcW w:w="275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eastAsia="仿宋_GB2312"/>
                <w:sz w:val="24"/>
                <w:szCs w:val="24"/>
              </w:rPr>
            </w:pPr>
            <w:r>
              <w:rPr>
                <w:rFonts w:eastAsia="仿宋_GB2312"/>
                <w:sz w:val="24"/>
                <w:szCs w:val="24"/>
              </w:rPr>
              <w:t>zonghebu@cieccpa.com</w:t>
            </w:r>
          </w:p>
        </w:tc>
        <w:tc>
          <w:tcPr>
            <w:tcW w:w="21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b/>
                <w:sz w:val="24"/>
                <w:szCs w:val="24"/>
              </w:rPr>
            </w:pPr>
            <w:r>
              <w:rPr>
                <w:rFonts w:eastAsia="仿宋_GB2312"/>
                <w:b/>
                <w:sz w:val="24"/>
                <w:szCs w:val="24"/>
              </w:rPr>
              <w:t>网址</w:t>
            </w:r>
          </w:p>
        </w:tc>
        <w:tc>
          <w:tcPr>
            <w:tcW w:w="24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eastAsia="仿宋_GB2312"/>
                <w:sz w:val="24"/>
                <w:szCs w:val="24"/>
              </w:rPr>
            </w:pPr>
            <w:r>
              <w:rPr>
                <w:rFonts w:eastAsia="仿宋_GB2312"/>
                <w:sz w:val="24"/>
                <w:szCs w:val="24"/>
              </w:rPr>
              <w:t>http://www.cieccpa.org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638" w:hRule="atLeast"/>
          <w:jc w:val="center"/>
        </w:trPr>
        <w:tc>
          <w:tcPr>
            <w:tcW w:w="45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276" w:lineRule="auto"/>
              <w:jc w:val="left"/>
              <w:rPr>
                <w:rFonts w:eastAsia="仿宋_GB2312"/>
                <w:b/>
                <w:sz w:val="24"/>
                <w:szCs w:val="24"/>
              </w:rPr>
            </w:pPr>
            <w:r>
              <w:rPr>
                <w:rFonts w:eastAsia="仿宋_GB2312"/>
                <w:b/>
                <w:sz w:val="24"/>
                <w:szCs w:val="24"/>
              </w:rPr>
              <w:t>牵头申请单位意见</w:t>
            </w:r>
            <w:r>
              <w:rPr>
                <w:rFonts w:hint="eastAsia" w:eastAsia="仿宋_GB2312"/>
                <w:b/>
                <w:sz w:val="24"/>
                <w:szCs w:val="24"/>
              </w:rPr>
              <w:t>：</w:t>
            </w:r>
          </w:p>
          <w:p>
            <w:pPr>
              <w:spacing w:line="276" w:lineRule="auto"/>
              <w:jc w:val="center"/>
              <w:rPr>
                <w:rFonts w:eastAsia="仿宋_GB2312"/>
                <w:sz w:val="24"/>
                <w:szCs w:val="24"/>
              </w:rPr>
            </w:pPr>
          </w:p>
          <w:p>
            <w:pPr>
              <w:spacing w:line="276" w:lineRule="auto"/>
              <w:rPr>
                <w:rFonts w:eastAsia="仿宋_GB2312"/>
                <w:sz w:val="24"/>
                <w:szCs w:val="24"/>
              </w:rPr>
            </w:pPr>
            <w:r>
              <w:rPr>
                <w:rFonts w:eastAsia="仿宋_GB2312"/>
                <w:sz w:val="24"/>
                <w:szCs w:val="24"/>
              </w:rPr>
              <w:t>领导（法人）签字</w:t>
            </w:r>
            <w:r>
              <w:rPr>
                <w:rFonts w:hint="eastAsia" w:eastAsia="仿宋_GB2312"/>
                <w:sz w:val="24"/>
                <w:szCs w:val="24"/>
              </w:rPr>
              <w:t>：</w:t>
            </w:r>
          </w:p>
          <w:p>
            <w:pPr>
              <w:spacing w:line="276" w:lineRule="auto"/>
              <w:jc w:val="center"/>
              <w:rPr>
                <w:rFonts w:eastAsia="仿宋_GB2312"/>
                <w:sz w:val="24"/>
                <w:szCs w:val="24"/>
              </w:rPr>
            </w:pPr>
          </w:p>
          <w:p>
            <w:pPr>
              <w:spacing w:line="276" w:lineRule="auto"/>
              <w:jc w:val="center"/>
              <w:rPr>
                <w:rFonts w:eastAsia="仿宋_GB2312"/>
                <w:sz w:val="24"/>
                <w:szCs w:val="24"/>
              </w:rPr>
            </w:pPr>
          </w:p>
          <w:p>
            <w:pPr>
              <w:spacing w:line="276" w:lineRule="auto"/>
              <w:jc w:val="center"/>
              <w:rPr>
                <w:rFonts w:eastAsia="仿宋_GB2312"/>
                <w:sz w:val="24"/>
                <w:szCs w:val="24"/>
              </w:rPr>
            </w:pPr>
            <w:r>
              <w:rPr>
                <w:rFonts w:hint="eastAsia" w:eastAsia="仿宋_GB2312"/>
                <w:sz w:val="24"/>
                <w:szCs w:val="24"/>
              </w:rPr>
              <w:t xml:space="preserve">        （单位公章）</w:t>
            </w:r>
          </w:p>
          <w:p>
            <w:pPr>
              <w:spacing w:line="276" w:lineRule="auto"/>
              <w:jc w:val="center"/>
              <w:rPr>
                <w:rFonts w:eastAsia="仿宋_GB2312"/>
                <w:sz w:val="24"/>
                <w:szCs w:val="24"/>
              </w:rPr>
            </w:pPr>
            <w:r>
              <w:rPr>
                <w:rFonts w:hint="eastAsia" w:eastAsia="仿宋_GB2312"/>
                <w:sz w:val="24"/>
                <w:szCs w:val="24"/>
              </w:rPr>
              <w:t xml:space="preserve">           年   月   日</w:t>
            </w:r>
          </w:p>
        </w:tc>
        <w:tc>
          <w:tcPr>
            <w:tcW w:w="46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276" w:lineRule="auto"/>
              <w:rPr>
                <w:rFonts w:eastAsia="仿宋_GB2312"/>
                <w:b/>
                <w:sz w:val="24"/>
                <w:szCs w:val="24"/>
              </w:rPr>
            </w:pPr>
            <w:r>
              <w:rPr>
                <w:rFonts w:eastAsia="仿宋_GB2312"/>
                <w:b/>
                <w:sz w:val="24"/>
                <w:szCs w:val="24"/>
              </w:rPr>
              <w:t>委托机构（或地方行业主管部门）意见</w:t>
            </w:r>
            <w:r>
              <w:rPr>
                <w:rFonts w:hint="eastAsia" w:eastAsia="仿宋_GB2312"/>
                <w:b/>
                <w:sz w:val="24"/>
                <w:szCs w:val="24"/>
              </w:rPr>
              <w:t>：</w:t>
            </w:r>
          </w:p>
          <w:p>
            <w:pPr>
              <w:spacing w:line="276" w:lineRule="auto"/>
              <w:jc w:val="center"/>
              <w:rPr>
                <w:rFonts w:eastAsia="仿宋_GB2312"/>
                <w:sz w:val="24"/>
                <w:szCs w:val="24"/>
              </w:rPr>
            </w:pPr>
          </w:p>
          <w:p>
            <w:pPr>
              <w:spacing w:line="276" w:lineRule="auto"/>
              <w:jc w:val="center"/>
              <w:rPr>
                <w:rFonts w:eastAsia="仿宋_GB2312"/>
                <w:sz w:val="24"/>
                <w:szCs w:val="24"/>
              </w:rPr>
            </w:pPr>
          </w:p>
          <w:p>
            <w:pPr>
              <w:spacing w:line="276" w:lineRule="auto"/>
              <w:jc w:val="center"/>
              <w:rPr>
                <w:rFonts w:eastAsia="仿宋_GB2312"/>
                <w:sz w:val="24"/>
                <w:szCs w:val="24"/>
              </w:rPr>
            </w:pPr>
          </w:p>
          <w:p>
            <w:pPr>
              <w:spacing w:line="276" w:lineRule="auto"/>
              <w:jc w:val="center"/>
              <w:rPr>
                <w:rFonts w:eastAsia="仿宋_GB2312"/>
                <w:sz w:val="24"/>
                <w:szCs w:val="24"/>
              </w:rPr>
            </w:pPr>
          </w:p>
          <w:p>
            <w:pPr>
              <w:spacing w:line="276" w:lineRule="auto"/>
              <w:jc w:val="center"/>
              <w:rPr>
                <w:rFonts w:eastAsia="仿宋_GB2312"/>
                <w:sz w:val="24"/>
                <w:szCs w:val="24"/>
              </w:rPr>
            </w:pPr>
            <w:r>
              <w:rPr>
                <w:rFonts w:hint="eastAsia" w:eastAsia="仿宋_GB2312"/>
                <w:sz w:val="24"/>
                <w:szCs w:val="24"/>
              </w:rPr>
              <w:t xml:space="preserve">    （单位公章）</w:t>
            </w:r>
          </w:p>
          <w:p>
            <w:pPr>
              <w:spacing w:line="276" w:lineRule="auto"/>
              <w:jc w:val="center"/>
              <w:rPr>
                <w:rFonts w:eastAsia="仿宋_GB2312"/>
                <w:sz w:val="24"/>
                <w:szCs w:val="24"/>
              </w:rPr>
            </w:pPr>
            <w:r>
              <w:rPr>
                <w:rFonts w:hint="eastAsia" w:eastAsia="仿宋_GB2312"/>
                <w:sz w:val="24"/>
                <w:szCs w:val="24"/>
              </w:rPr>
              <w:t xml:space="preserve">             </w:t>
            </w:r>
            <w:r>
              <w:rPr>
                <w:rFonts w:eastAsia="仿宋_GB2312"/>
                <w:sz w:val="24"/>
                <w:szCs w:val="24"/>
              </w:rPr>
              <w:t>年</w:t>
            </w:r>
            <w:r>
              <w:rPr>
                <w:rFonts w:hint="eastAsia" w:eastAsia="仿宋_GB2312"/>
                <w:sz w:val="24"/>
                <w:szCs w:val="24"/>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079" w:hRule="atLeast"/>
          <w:jc w:val="center"/>
        </w:trPr>
        <w:tc>
          <w:tcPr>
            <w:tcW w:w="920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276" w:lineRule="auto"/>
              <w:rPr>
                <w:rFonts w:eastAsia="仿宋_GB2312"/>
                <w:b/>
                <w:sz w:val="24"/>
                <w:szCs w:val="24"/>
              </w:rPr>
            </w:pPr>
            <w:r>
              <w:rPr>
                <w:rFonts w:eastAsia="仿宋_GB2312"/>
                <w:b/>
                <w:sz w:val="24"/>
                <w:szCs w:val="24"/>
              </w:rPr>
              <w:t>专业司局审查意见：</w:t>
            </w:r>
          </w:p>
          <w:p>
            <w:pPr>
              <w:spacing w:line="276" w:lineRule="auto"/>
              <w:rPr>
                <w:rFonts w:eastAsia="仿宋_GB2312"/>
                <w:sz w:val="24"/>
                <w:szCs w:val="24"/>
              </w:rPr>
            </w:pPr>
          </w:p>
          <w:p>
            <w:pPr>
              <w:spacing w:line="276" w:lineRule="auto"/>
              <w:rPr>
                <w:rFonts w:eastAsia="仿宋_GB2312"/>
                <w:sz w:val="24"/>
                <w:szCs w:val="24"/>
              </w:rPr>
            </w:pPr>
          </w:p>
          <w:p>
            <w:pPr>
              <w:spacing w:line="276" w:lineRule="auto"/>
              <w:ind w:firstLine="6360" w:firstLineChars="2650"/>
              <w:rPr>
                <w:rFonts w:eastAsia="仿宋_GB2312"/>
                <w:sz w:val="24"/>
                <w:szCs w:val="24"/>
              </w:rPr>
            </w:pPr>
          </w:p>
          <w:p>
            <w:pPr>
              <w:spacing w:line="276" w:lineRule="auto"/>
              <w:ind w:firstLine="6240" w:firstLineChars="2600"/>
              <w:rPr>
                <w:rFonts w:eastAsia="仿宋_GB2312"/>
                <w:sz w:val="24"/>
                <w:szCs w:val="24"/>
              </w:rPr>
            </w:pPr>
            <w:r>
              <w:rPr>
                <w:rFonts w:hint="eastAsia" w:eastAsia="仿宋_GB2312"/>
                <w:sz w:val="24"/>
                <w:szCs w:val="24"/>
              </w:rPr>
              <w:t>（</w:t>
            </w:r>
            <w:r>
              <w:rPr>
                <w:rFonts w:eastAsia="仿宋_GB2312"/>
                <w:sz w:val="24"/>
                <w:szCs w:val="24"/>
              </w:rPr>
              <w:t>单位公章</w:t>
            </w:r>
            <w:r>
              <w:rPr>
                <w:rFonts w:hint="eastAsia" w:eastAsia="仿宋_GB2312"/>
                <w:sz w:val="24"/>
                <w:szCs w:val="24"/>
              </w:rPr>
              <w:t>）</w:t>
            </w:r>
          </w:p>
          <w:p>
            <w:pPr>
              <w:spacing w:line="276" w:lineRule="auto"/>
              <w:ind w:firstLine="6360" w:firstLineChars="2650"/>
              <w:rPr>
                <w:rFonts w:eastAsia="仿宋_GB2312"/>
                <w:sz w:val="24"/>
                <w:szCs w:val="24"/>
              </w:rPr>
            </w:pPr>
            <w:r>
              <w:rPr>
                <w:rFonts w:hint="eastAsia" w:eastAsia="仿宋_GB2312"/>
                <w:sz w:val="24"/>
                <w:szCs w:val="24"/>
              </w:rPr>
              <w:t>年   月   日</w:t>
            </w:r>
          </w:p>
        </w:tc>
      </w:tr>
    </w:tbl>
    <w:p>
      <w:pPr>
        <w:rPr>
          <w:rFonts w:ascii="仿宋_GB2312" w:hAnsi="仿宋_GB2312" w:eastAsia="仿宋_GB2312"/>
          <w:sz w:val="32"/>
        </w:rPr>
      </w:pPr>
      <w:bookmarkStart w:id="0" w:name="_GoBack"/>
      <w:bookmarkEnd w:id="0"/>
    </w:p>
    <w:sectPr>
      <w:footerReference r:id="rId4" w:type="first"/>
      <w:footerReference r:id="rId3" w:type="default"/>
      <w:endnotePr>
        <w:numFmt w:val="decimal"/>
      </w:endnotePr>
      <w:pgSz w:w="11906" w:h="16838"/>
      <w:pgMar w:top="2097" w:right="1474" w:bottom="1276" w:left="1588" w:header="851" w:footer="992"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宋体" w:cs="Times New Roman"/>
        <w:kern w:val="1"/>
        <w:sz w:val="18"/>
        <w:szCs w:val="18"/>
        <w:lang w:val="en-US" w:eastAsia="zh-CN" w:bidi="ar-SA"/>
      </w:rPr>
      <w:pict>
        <v:rect id="文本框 3" o:spid="_x0000_s4098"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w:t>
                </w:r>
                <w:r>
                  <w:fldChar w:fldCharType="end"/>
                </w:r>
              </w:p>
              <w:p/>
            </w:txbxContent>
          </v:textbox>
        </v:rect>
      </w:pict>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1"/>
        <w:sz w:val="18"/>
        <w:szCs w:val="18"/>
        <w:lang w:val="en-US" w:eastAsia="zh-CN" w:bidi="ar-SA"/>
      </w:rPr>
      <w:pict>
        <v:rect id="文本框 4"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doNotCompress"/>
  <w:hdrShapeDefaults>
    <o:shapelayout v:ext="edit">
      <o:idmap v:ext="edit" data="3,4"/>
    </o:shapelayout>
  </w:hdrShapeDefaults>
  <w:endnotePr>
    <w:numFmt w:val="decimal"/>
  </w:endnotePr>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52C12"/>
    <w:rsid w:val="00020C65"/>
    <w:rsid w:val="00044EDD"/>
    <w:rsid w:val="00052C12"/>
    <w:rsid w:val="000739BF"/>
    <w:rsid w:val="00093352"/>
    <w:rsid w:val="000C0FA8"/>
    <w:rsid w:val="000D51D3"/>
    <w:rsid w:val="000F60D2"/>
    <w:rsid w:val="00105130"/>
    <w:rsid w:val="00146963"/>
    <w:rsid w:val="0014793B"/>
    <w:rsid w:val="0015098C"/>
    <w:rsid w:val="00150BA0"/>
    <w:rsid w:val="001847A3"/>
    <w:rsid w:val="001B0425"/>
    <w:rsid w:val="001B6BE9"/>
    <w:rsid w:val="001B6F25"/>
    <w:rsid w:val="001E2B74"/>
    <w:rsid w:val="001F76FF"/>
    <w:rsid w:val="0022369A"/>
    <w:rsid w:val="00225CAE"/>
    <w:rsid w:val="00226256"/>
    <w:rsid w:val="00226DCF"/>
    <w:rsid w:val="00227F19"/>
    <w:rsid w:val="002422DB"/>
    <w:rsid w:val="00242AF4"/>
    <w:rsid w:val="00244904"/>
    <w:rsid w:val="00247C14"/>
    <w:rsid w:val="00252F02"/>
    <w:rsid w:val="00253EBC"/>
    <w:rsid w:val="0025516A"/>
    <w:rsid w:val="00256F97"/>
    <w:rsid w:val="0025764C"/>
    <w:rsid w:val="00264EBF"/>
    <w:rsid w:val="00274483"/>
    <w:rsid w:val="00280F2D"/>
    <w:rsid w:val="00281A68"/>
    <w:rsid w:val="002840DC"/>
    <w:rsid w:val="00287755"/>
    <w:rsid w:val="00292EC0"/>
    <w:rsid w:val="002A4061"/>
    <w:rsid w:val="002B1F3D"/>
    <w:rsid w:val="002C0960"/>
    <w:rsid w:val="002E5811"/>
    <w:rsid w:val="002E75FE"/>
    <w:rsid w:val="00305927"/>
    <w:rsid w:val="00317DDE"/>
    <w:rsid w:val="00320625"/>
    <w:rsid w:val="00326414"/>
    <w:rsid w:val="00334D80"/>
    <w:rsid w:val="0033756F"/>
    <w:rsid w:val="003419B8"/>
    <w:rsid w:val="00344461"/>
    <w:rsid w:val="00345A48"/>
    <w:rsid w:val="00360E3B"/>
    <w:rsid w:val="00367C64"/>
    <w:rsid w:val="003957B4"/>
    <w:rsid w:val="003A21F2"/>
    <w:rsid w:val="003B01A7"/>
    <w:rsid w:val="003B3F33"/>
    <w:rsid w:val="003B7D48"/>
    <w:rsid w:val="003C353B"/>
    <w:rsid w:val="003D33CF"/>
    <w:rsid w:val="003F145A"/>
    <w:rsid w:val="003F170C"/>
    <w:rsid w:val="00400C24"/>
    <w:rsid w:val="00402FB4"/>
    <w:rsid w:val="00421812"/>
    <w:rsid w:val="00425041"/>
    <w:rsid w:val="0043428A"/>
    <w:rsid w:val="00434DE7"/>
    <w:rsid w:val="00435CC7"/>
    <w:rsid w:val="00471296"/>
    <w:rsid w:val="004A5E4A"/>
    <w:rsid w:val="004A7B3B"/>
    <w:rsid w:val="004C0ED6"/>
    <w:rsid w:val="004D3F1E"/>
    <w:rsid w:val="004D5175"/>
    <w:rsid w:val="004E6475"/>
    <w:rsid w:val="00500492"/>
    <w:rsid w:val="00503AE4"/>
    <w:rsid w:val="005072B3"/>
    <w:rsid w:val="00507419"/>
    <w:rsid w:val="005241E8"/>
    <w:rsid w:val="005258D4"/>
    <w:rsid w:val="005260C3"/>
    <w:rsid w:val="0053479A"/>
    <w:rsid w:val="00537C4A"/>
    <w:rsid w:val="005615F2"/>
    <w:rsid w:val="005744D5"/>
    <w:rsid w:val="00597D78"/>
    <w:rsid w:val="005A6820"/>
    <w:rsid w:val="005B301A"/>
    <w:rsid w:val="005D4927"/>
    <w:rsid w:val="005E4263"/>
    <w:rsid w:val="005F0F61"/>
    <w:rsid w:val="006019C1"/>
    <w:rsid w:val="00602D2B"/>
    <w:rsid w:val="00626ECF"/>
    <w:rsid w:val="00650B9E"/>
    <w:rsid w:val="00673254"/>
    <w:rsid w:val="00675CF4"/>
    <w:rsid w:val="00677F49"/>
    <w:rsid w:val="00685D14"/>
    <w:rsid w:val="00696136"/>
    <w:rsid w:val="006A15C1"/>
    <w:rsid w:val="006B038A"/>
    <w:rsid w:val="006C109E"/>
    <w:rsid w:val="006C5713"/>
    <w:rsid w:val="006D4284"/>
    <w:rsid w:val="006E082F"/>
    <w:rsid w:val="006E7E19"/>
    <w:rsid w:val="00710B69"/>
    <w:rsid w:val="0071138A"/>
    <w:rsid w:val="00714AE2"/>
    <w:rsid w:val="00735268"/>
    <w:rsid w:val="0073692E"/>
    <w:rsid w:val="007371E0"/>
    <w:rsid w:val="0074197F"/>
    <w:rsid w:val="00765F88"/>
    <w:rsid w:val="00767E0A"/>
    <w:rsid w:val="00777EE6"/>
    <w:rsid w:val="00780497"/>
    <w:rsid w:val="00793456"/>
    <w:rsid w:val="007A5C80"/>
    <w:rsid w:val="007A6264"/>
    <w:rsid w:val="007B21FA"/>
    <w:rsid w:val="007B4056"/>
    <w:rsid w:val="007B47E8"/>
    <w:rsid w:val="007B5236"/>
    <w:rsid w:val="007D19EA"/>
    <w:rsid w:val="007E638C"/>
    <w:rsid w:val="00814233"/>
    <w:rsid w:val="00820463"/>
    <w:rsid w:val="008372C1"/>
    <w:rsid w:val="008602DC"/>
    <w:rsid w:val="008768FD"/>
    <w:rsid w:val="00876D8D"/>
    <w:rsid w:val="00887507"/>
    <w:rsid w:val="008917E2"/>
    <w:rsid w:val="00894FBC"/>
    <w:rsid w:val="008A6377"/>
    <w:rsid w:val="008A6B55"/>
    <w:rsid w:val="008B139E"/>
    <w:rsid w:val="008B2C25"/>
    <w:rsid w:val="008B4CA5"/>
    <w:rsid w:val="008D7398"/>
    <w:rsid w:val="008F580D"/>
    <w:rsid w:val="008F59F0"/>
    <w:rsid w:val="0091071C"/>
    <w:rsid w:val="00913D3E"/>
    <w:rsid w:val="00932C78"/>
    <w:rsid w:val="009352C8"/>
    <w:rsid w:val="009759D3"/>
    <w:rsid w:val="00982BDC"/>
    <w:rsid w:val="00991573"/>
    <w:rsid w:val="009B6772"/>
    <w:rsid w:val="009D468A"/>
    <w:rsid w:val="009D5CF5"/>
    <w:rsid w:val="009D75B6"/>
    <w:rsid w:val="009F336A"/>
    <w:rsid w:val="009F5446"/>
    <w:rsid w:val="00A03CF8"/>
    <w:rsid w:val="00A2088E"/>
    <w:rsid w:val="00A22492"/>
    <w:rsid w:val="00A26705"/>
    <w:rsid w:val="00A3254B"/>
    <w:rsid w:val="00A37164"/>
    <w:rsid w:val="00A449FB"/>
    <w:rsid w:val="00A50054"/>
    <w:rsid w:val="00A5777C"/>
    <w:rsid w:val="00A60212"/>
    <w:rsid w:val="00A6221E"/>
    <w:rsid w:val="00A636B6"/>
    <w:rsid w:val="00A65947"/>
    <w:rsid w:val="00A86FAD"/>
    <w:rsid w:val="00AB5BA3"/>
    <w:rsid w:val="00AB6941"/>
    <w:rsid w:val="00B13F27"/>
    <w:rsid w:val="00B22489"/>
    <w:rsid w:val="00B41C3A"/>
    <w:rsid w:val="00B52EE4"/>
    <w:rsid w:val="00B76A1B"/>
    <w:rsid w:val="00B80ACB"/>
    <w:rsid w:val="00B854DF"/>
    <w:rsid w:val="00B93601"/>
    <w:rsid w:val="00B971AB"/>
    <w:rsid w:val="00BD0E41"/>
    <w:rsid w:val="00BD568D"/>
    <w:rsid w:val="00BD6165"/>
    <w:rsid w:val="00BF245A"/>
    <w:rsid w:val="00BF7EE5"/>
    <w:rsid w:val="00C12742"/>
    <w:rsid w:val="00C13A37"/>
    <w:rsid w:val="00C14AC5"/>
    <w:rsid w:val="00C240C1"/>
    <w:rsid w:val="00C25785"/>
    <w:rsid w:val="00C32D60"/>
    <w:rsid w:val="00C335C7"/>
    <w:rsid w:val="00C46817"/>
    <w:rsid w:val="00C60785"/>
    <w:rsid w:val="00C65E90"/>
    <w:rsid w:val="00C678C5"/>
    <w:rsid w:val="00C7042C"/>
    <w:rsid w:val="00C80283"/>
    <w:rsid w:val="00C93D20"/>
    <w:rsid w:val="00C94381"/>
    <w:rsid w:val="00CA19E1"/>
    <w:rsid w:val="00CA3FD4"/>
    <w:rsid w:val="00CA40F7"/>
    <w:rsid w:val="00CA5802"/>
    <w:rsid w:val="00CA6B97"/>
    <w:rsid w:val="00CA78DB"/>
    <w:rsid w:val="00CB3E98"/>
    <w:rsid w:val="00CB7AD4"/>
    <w:rsid w:val="00D01897"/>
    <w:rsid w:val="00D058EC"/>
    <w:rsid w:val="00D16DEF"/>
    <w:rsid w:val="00D3690A"/>
    <w:rsid w:val="00D43B17"/>
    <w:rsid w:val="00D52821"/>
    <w:rsid w:val="00D52EF1"/>
    <w:rsid w:val="00D62354"/>
    <w:rsid w:val="00D74189"/>
    <w:rsid w:val="00D9681E"/>
    <w:rsid w:val="00DA18C3"/>
    <w:rsid w:val="00DA4282"/>
    <w:rsid w:val="00DB26D0"/>
    <w:rsid w:val="00DC0D15"/>
    <w:rsid w:val="00DC4831"/>
    <w:rsid w:val="00DD1881"/>
    <w:rsid w:val="00DF096F"/>
    <w:rsid w:val="00E12636"/>
    <w:rsid w:val="00E37059"/>
    <w:rsid w:val="00E37BA7"/>
    <w:rsid w:val="00E42296"/>
    <w:rsid w:val="00E42766"/>
    <w:rsid w:val="00E46876"/>
    <w:rsid w:val="00E52047"/>
    <w:rsid w:val="00E62C97"/>
    <w:rsid w:val="00E70FE5"/>
    <w:rsid w:val="00E73C8C"/>
    <w:rsid w:val="00EB46C4"/>
    <w:rsid w:val="00EC2D8A"/>
    <w:rsid w:val="00ED1254"/>
    <w:rsid w:val="00EF1B0C"/>
    <w:rsid w:val="00EF3192"/>
    <w:rsid w:val="00EF4B4B"/>
    <w:rsid w:val="00F17A51"/>
    <w:rsid w:val="00F2641A"/>
    <w:rsid w:val="00F332B3"/>
    <w:rsid w:val="00F45889"/>
    <w:rsid w:val="00F51134"/>
    <w:rsid w:val="00F606F5"/>
    <w:rsid w:val="00F801BD"/>
    <w:rsid w:val="00F80839"/>
    <w:rsid w:val="00F8150F"/>
    <w:rsid w:val="00FB5C26"/>
    <w:rsid w:val="00FB614F"/>
    <w:rsid w:val="00FC299D"/>
    <w:rsid w:val="00FC3E2E"/>
    <w:rsid w:val="00FD5659"/>
    <w:rsid w:val="00FD5CD9"/>
    <w:rsid w:val="00FD6047"/>
    <w:rsid w:val="08536063"/>
    <w:rsid w:val="08A50364"/>
    <w:rsid w:val="0C3121D6"/>
    <w:rsid w:val="0D677E12"/>
    <w:rsid w:val="10CF6AC8"/>
    <w:rsid w:val="236E2080"/>
    <w:rsid w:val="271839EA"/>
    <w:rsid w:val="2ED344EC"/>
    <w:rsid w:val="4400396D"/>
    <w:rsid w:val="4A881005"/>
    <w:rsid w:val="4ED753A6"/>
    <w:rsid w:val="50E449F1"/>
    <w:rsid w:val="55622E17"/>
    <w:rsid w:val="560E4E98"/>
    <w:rsid w:val="58C3159A"/>
    <w:rsid w:val="5F814105"/>
    <w:rsid w:val="67AB34DE"/>
    <w:rsid w:val="6D281EA1"/>
    <w:rsid w:val="6F2E7B30"/>
    <w:rsid w:val="70A35456"/>
    <w:rsid w:val="74214249"/>
    <w:rsid w:val="75747D13"/>
    <w:rsid w:val="7940562C"/>
    <w:rsid w:val="7C1B1B3A"/>
    <w:rsid w:val="7C2D1B42"/>
    <w:rsid w:val="7C441B45"/>
    <w:rsid w:val="7EFE10C9"/>
    <w:rsid w:val="7F4DF7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lang w:val="en-US" w:eastAsia="zh-CN" w:bidi="ar-SA"/>
    </w:rPr>
  </w:style>
  <w:style w:type="character" w:default="1" w:styleId="10">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b/>
      <w:sz w:val="44"/>
    </w:rPr>
  </w:style>
  <w:style w:type="paragraph" w:styleId="3">
    <w:name w:val="Date"/>
    <w:basedOn w:val="1"/>
    <w:next w:val="1"/>
    <w:qFormat/>
    <w:uiPriority w:val="0"/>
    <w:rPr>
      <w:rFonts w:ascii="仿宋_GB2312" w:hAnsi="仿宋_GB2312" w:eastAsia="仿宋_GB2312"/>
      <w:sz w:val="32"/>
    </w:rPr>
  </w:style>
  <w:style w:type="paragraph" w:styleId="4">
    <w:name w:val="Balloon Text"/>
    <w:basedOn w:val="3"/>
    <w:qFormat/>
    <w:uiPriority w:val="0"/>
    <w:rPr>
      <w:sz w:val="18"/>
      <w:szCs w:val="18"/>
    </w:rPr>
  </w:style>
  <w:style w:type="paragraph" w:styleId="5">
    <w:name w:val="footer"/>
    <w:basedOn w:val="1"/>
    <w:link w:val="30"/>
    <w:unhideWhenUsed/>
    <w:uiPriority w:val="99"/>
    <w:pPr>
      <w:tabs>
        <w:tab w:val="center" w:pos="4153"/>
        <w:tab w:val="right" w:pos="8306"/>
      </w:tabs>
      <w:snapToGrid w:val="0"/>
      <w:jc w:val="left"/>
    </w:pPr>
    <w:rPr>
      <w:sz w:val="18"/>
      <w:szCs w:val="18"/>
    </w:rPr>
  </w:style>
  <w:style w:type="paragraph" w:styleId="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8"/>
    <w:qFormat/>
    <w:uiPriority w:val="0"/>
    <w:pPr>
      <w:widowControl/>
      <w:tabs>
        <w:tab w:val="center" w:pos="4153"/>
        <w:tab w:val="right" w:pos="8306"/>
      </w:tabs>
      <w:spacing w:before="100" w:after="100"/>
      <w:jc w:val="left"/>
    </w:pPr>
    <w:rPr>
      <w:rFonts w:hint="eastAsia" w:ascii="宋体" w:hAnsi="宋体"/>
      <w:sz w:val="24"/>
    </w:rPr>
  </w:style>
  <w:style w:type="paragraph" w:customStyle="1" w:styleId="8">
    <w:name w:val="页眉1"/>
    <w:basedOn w:val="9"/>
    <w:qFormat/>
    <w:uiPriority w:val="0"/>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style>
  <w:style w:type="paragraph" w:customStyle="1" w:styleId="9">
    <w:name w:val="页脚1"/>
    <w:basedOn w:val="4"/>
    <w:qFormat/>
    <w:uiPriority w:val="0"/>
    <w:pPr>
      <w:tabs>
        <w:tab w:val="center" w:pos="4153"/>
        <w:tab w:val="right" w:pos="8306"/>
      </w:tabs>
      <w:jc w:val="left"/>
    </w:pPr>
  </w:style>
  <w:style w:type="character" w:styleId="11">
    <w:name w:val="Emphasis"/>
    <w:basedOn w:val="12"/>
    <w:qFormat/>
    <w:uiPriority w:val="0"/>
    <w:rPr>
      <w:i/>
      <w:iCs/>
      <w:sz w:val="18"/>
    </w:rPr>
  </w:style>
  <w:style w:type="character" w:customStyle="1" w:styleId="12">
    <w:name w:val="页脚 字符"/>
    <w:qFormat/>
    <w:uiPriority w:val="99"/>
    <w:rPr>
      <w:sz w:val="18"/>
    </w:rPr>
  </w:style>
  <w:style w:type="character" w:styleId="13">
    <w:name w:val="Hyperlink"/>
    <w:basedOn w:val="14"/>
    <w:qFormat/>
    <w:uiPriority w:val="0"/>
    <w:rPr>
      <w:color w:val="0000FF"/>
      <w:u w:val="single"/>
    </w:rPr>
  </w:style>
  <w:style w:type="character" w:customStyle="1" w:styleId="14">
    <w:name w:val="页码1"/>
    <w:basedOn w:val="10"/>
    <w:qFormat/>
    <w:uiPriority w:val="0"/>
  </w:style>
  <w:style w:type="paragraph" w:customStyle="1" w:styleId="16">
    <w:name w:val="样式1"/>
    <w:basedOn w:val="8"/>
    <w:qFormat/>
    <w:uiPriority w:val="0"/>
    <w:pPr>
      <w:suppressAutoHyphens/>
      <w:spacing w:before="156" w:line="440" w:lineRule="exact"/>
    </w:pPr>
    <w:rPr>
      <w:rFonts w:ascii="宋体" w:hAnsi="宋体"/>
      <w:sz w:val="24"/>
    </w:rPr>
  </w:style>
  <w:style w:type="paragraph" w:customStyle="1" w:styleId="17">
    <w:name w:val="Char Char Char Char"/>
    <w:basedOn w:val="8"/>
    <w:qFormat/>
    <w:uiPriority w:val="0"/>
    <w:pPr>
      <w:widowControl/>
      <w:spacing w:after="160" w:line="240" w:lineRule="exact"/>
      <w:jc w:val="left"/>
    </w:pPr>
  </w:style>
  <w:style w:type="paragraph" w:customStyle="1" w:styleId="18">
    <w:name w:val="内文"/>
    <w:basedOn w:val="8"/>
    <w:qFormat/>
    <w:uiPriority w:val="0"/>
    <w:pPr>
      <w:spacing w:line="572" w:lineRule="atLeast"/>
      <w:ind w:firstLine="624"/>
    </w:pPr>
    <w:rPr>
      <w:w w:val="99"/>
      <w:sz w:val="32"/>
    </w:rPr>
  </w:style>
  <w:style w:type="paragraph" w:customStyle="1" w:styleId="19">
    <w:name w:val="大标题"/>
    <w:basedOn w:val="18"/>
    <w:qFormat/>
    <w:uiPriority w:val="0"/>
    <w:pPr>
      <w:spacing w:line="624" w:lineRule="atLeast"/>
    </w:pPr>
    <w:rPr>
      <w:sz w:val="40"/>
    </w:rPr>
  </w:style>
  <w:style w:type="paragraph" w:customStyle="1" w:styleId="20">
    <w:name w:val="一级标题"/>
    <w:basedOn w:val="19"/>
    <w:qFormat/>
    <w:uiPriority w:val="0"/>
    <w:pPr>
      <w:spacing w:line="572" w:lineRule="atLeast"/>
    </w:pPr>
    <w:rPr>
      <w:sz w:val="32"/>
    </w:rPr>
  </w:style>
  <w:style w:type="paragraph" w:customStyle="1" w:styleId="21">
    <w:name w:val="[无段落样式]"/>
    <w:qFormat/>
    <w:uiPriority w:val="0"/>
    <w:pPr>
      <w:widowControl w:val="0"/>
      <w:spacing w:line="288" w:lineRule="auto"/>
      <w:jc w:val="both"/>
    </w:pPr>
    <w:rPr>
      <w:rFonts w:ascii="宋体" w:hAnsi="宋体" w:eastAsia="宋体" w:cs="Times New Roman"/>
      <w:sz w:val="24"/>
      <w:lang w:val="en-US" w:eastAsia="zh-CN" w:bidi="ar-SA"/>
    </w:rPr>
  </w:style>
  <w:style w:type="paragraph" w:customStyle="1" w:styleId="22">
    <w:name w:val="[基本段落]"/>
    <w:basedOn w:val="20"/>
    <w:qFormat/>
    <w:uiPriority w:val="0"/>
    <w:pPr>
      <w:spacing w:line="288" w:lineRule="auto"/>
    </w:pPr>
    <w:rPr>
      <w:rFonts w:ascii="宋体" w:hAnsi="宋体"/>
      <w:sz w:val="24"/>
    </w:rPr>
  </w:style>
  <w:style w:type="paragraph" w:customStyle="1" w:styleId="23">
    <w:name w:val="Table Paragraph"/>
    <w:basedOn w:val="20"/>
    <w:qFormat/>
    <w:uiPriority w:val="0"/>
    <w:pPr>
      <w:jc w:val="left"/>
    </w:pPr>
    <w:rPr>
      <w:rFonts w:ascii="宋体" w:hAnsi="宋体" w:cs="宋体"/>
      <w:sz w:val="22"/>
      <w:szCs w:val="22"/>
    </w:rPr>
  </w:style>
  <w:style w:type="paragraph" w:customStyle="1" w:styleId="24">
    <w:name w:val="列表段落1"/>
    <w:basedOn w:val="1"/>
    <w:qFormat/>
    <w:uiPriority w:val="99"/>
    <w:pPr>
      <w:ind w:firstLine="420" w:firstLineChars="200"/>
    </w:pPr>
  </w:style>
  <w:style w:type="character" w:customStyle="1" w:styleId="25">
    <w:name w:val="批注框文本 字符"/>
    <w:qFormat/>
    <w:uiPriority w:val="0"/>
    <w:rPr>
      <w:sz w:val="18"/>
      <w:szCs w:val="18"/>
    </w:rPr>
  </w:style>
  <w:style w:type="character" w:customStyle="1" w:styleId="26">
    <w:name w:val="样式1 字符"/>
    <w:qFormat/>
    <w:uiPriority w:val="0"/>
    <w:rPr>
      <w:rFonts w:ascii="宋体" w:hAnsi="宋体"/>
      <w:kern w:val="0"/>
      <w:sz w:val="24"/>
    </w:rPr>
  </w:style>
  <w:style w:type="character" w:customStyle="1" w:styleId="27">
    <w:name w:val="日期 字符"/>
    <w:qFormat/>
    <w:uiPriority w:val="0"/>
    <w:rPr>
      <w:rFonts w:ascii="仿宋_GB2312" w:hAnsi="仿宋_GB2312" w:eastAsia="仿宋_GB2312"/>
      <w:sz w:val="32"/>
    </w:rPr>
  </w:style>
  <w:style w:type="character" w:customStyle="1" w:styleId="28">
    <w:name w:val="页眉 字符"/>
    <w:qFormat/>
    <w:uiPriority w:val="0"/>
    <w:rPr>
      <w:sz w:val="18"/>
    </w:rPr>
  </w:style>
  <w:style w:type="character" w:customStyle="1" w:styleId="29">
    <w:name w:val="页眉 字符1"/>
    <w:basedOn w:val="10"/>
    <w:link w:val="6"/>
    <w:qFormat/>
    <w:uiPriority w:val="99"/>
    <w:rPr>
      <w:sz w:val="18"/>
      <w:szCs w:val="18"/>
    </w:rPr>
  </w:style>
  <w:style w:type="character" w:customStyle="1" w:styleId="30">
    <w:name w:val="页脚 字符1"/>
    <w:basedOn w:val="10"/>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1259</Words>
  <Characters>7180</Characters>
  <Lines>59</Lines>
  <Paragraphs>16</Paragraphs>
  <TotalTime>3</TotalTime>
  <ScaleCrop>false</ScaleCrop>
  <LinksUpToDate>false</LinksUpToDate>
  <CharactersWithSpaces>0</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2020-09-10T23:19:00Z</dcterms:created>
  <dc:creator>qq</dc:creator>
  <cp:lastModifiedBy>赵晶晶</cp:lastModifiedBy>
  <cp:lastPrinted>2020-09-16T02:23:00Z</cp:lastPrinted>
  <dcterms:modified xsi:type="dcterms:W3CDTF">2020-10-12T08:15:07Z</dcterms:modified>
  <dc:title>中国节能环保集团公司文件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